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50AB2CA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reluare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2019-2020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596D2039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sunt de acord cu respectarea prevederilor 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2019/2020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426EF66B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 xml:space="preserve"> FC Botosani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 xml:space="preserve">, din 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 xml:space="preserve"> iulie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2020,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 2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D4ECF" w14:textId="35B50CBA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2E2DC2"/>
    <w:rsid w:val="003543DA"/>
    <w:rsid w:val="00360891"/>
    <w:rsid w:val="003A4FC2"/>
    <w:rsid w:val="006A6F7C"/>
    <w:rsid w:val="007029FC"/>
    <w:rsid w:val="007C78A8"/>
    <w:rsid w:val="008A54CD"/>
    <w:rsid w:val="009037D3"/>
    <w:rsid w:val="009413CB"/>
    <w:rsid w:val="009B082A"/>
    <w:rsid w:val="009B4DFF"/>
    <w:rsid w:val="00A13AD4"/>
    <w:rsid w:val="00B65516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10</cp:revision>
  <cp:lastPrinted>2020-06-26T11:26:00Z</cp:lastPrinted>
  <dcterms:created xsi:type="dcterms:W3CDTF">2020-06-10T11:12:00Z</dcterms:created>
  <dcterms:modified xsi:type="dcterms:W3CDTF">2020-07-27T18:35:00Z</dcterms:modified>
</cp:coreProperties>
</file>